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8B0B" w14:textId="1A354979" w:rsidR="00017DBE" w:rsidRDefault="00017DBE" w:rsidP="00017DBE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FF4081F" wp14:editId="5A055907">
            <wp:extent cx="944880" cy="1170305"/>
            <wp:effectExtent l="0" t="0" r="7620" b="0"/>
            <wp:docPr id="63097311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170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4B4A43" w14:textId="239B2CC9" w:rsidR="00017DBE" w:rsidRPr="00B5621B" w:rsidRDefault="00017DBE" w:rsidP="00017DBE">
      <w:pPr>
        <w:jc w:val="center"/>
        <w:rPr>
          <w:rFonts w:ascii="Aptos" w:hAnsi="Aptos"/>
          <w:b/>
          <w:bCs/>
          <w:sz w:val="22"/>
          <w:szCs w:val="22"/>
        </w:rPr>
      </w:pPr>
      <w:r w:rsidRPr="00B5621B">
        <w:rPr>
          <w:rFonts w:ascii="Aptos" w:hAnsi="Aptos"/>
          <w:b/>
          <w:bCs/>
          <w:sz w:val="22"/>
          <w:szCs w:val="22"/>
        </w:rPr>
        <w:t>ESCLARECIMENTO (1)</w:t>
      </w:r>
    </w:p>
    <w:p w14:paraId="7E81CE03" w14:textId="15E55673" w:rsidR="00017DBE" w:rsidRPr="008F72A4" w:rsidRDefault="00017DBE" w:rsidP="008F72A4">
      <w:pPr>
        <w:pStyle w:val="SemEspaamento"/>
        <w:jc w:val="both"/>
        <w:rPr>
          <w:sz w:val="20"/>
          <w:szCs w:val="20"/>
        </w:rPr>
      </w:pPr>
      <w:r w:rsidRPr="008F72A4">
        <w:rPr>
          <w:sz w:val="20"/>
          <w:szCs w:val="20"/>
        </w:rPr>
        <w:t>Refere-se a solicitação de esclarecimento ao PE 900</w:t>
      </w:r>
      <w:r w:rsidR="00353533" w:rsidRPr="008F72A4">
        <w:rPr>
          <w:sz w:val="20"/>
          <w:szCs w:val="20"/>
        </w:rPr>
        <w:t>1</w:t>
      </w:r>
      <w:r w:rsidR="00174694">
        <w:rPr>
          <w:sz w:val="20"/>
          <w:szCs w:val="20"/>
        </w:rPr>
        <w:t>6</w:t>
      </w:r>
      <w:r w:rsidRPr="008F72A4">
        <w:rPr>
          <w:sz w:val="20"/>
          <w:szCs w:val="20"/>
        </w:rPr>
        <w:t>/202</w:t>
      </w:r>
      <w:r w:rsidR="00B5621B" w:rsidRPr="008F72A4">
        <w:rPr>
          <w:sz w:val="20"/>
          <w:szCs w:val="20"/>
        </w:rPr>
        <w:t>6</w:t>
      </w:r>
      <w:r w:rsidRPr="008F72A4">
        <w:rPr>
          <w:sz w:val="20"/>
          <w:szCs w:val="20"/>
        </w:rPr>
        <w:t>:</w:t>
      </w:r>
    </w:p>
    <w:p w14:paraId="02AD9642" w14:textId="77777777" w:rsidR="00D35463" w:rsidRDefault="00D35463" w:rsidP="008F72A4">
      <w:pPr>
        <w:pStyle w:val="SemEspaamento"/>
        <w:jc w:val="both"/>
        <w:rPr>
          <w:color w:val="242424"/>
          <w:sz w:val="20"/>
          <w:szCs w:val="20"/>
        </w:rPr>
      </w:pPr>
    </w:p>
    <w:p w14:paraId="5CE7CD61" w14:textId="77777777" w:rsidR="00174694" w:rsidRPr="00C90714" w:rsidRDefault="00174694" w:rsidP="00174694">
      <w:pPr>
        <w:numPr>
          <w:ilvl w:val="0"/>
          <w:numId w:val="2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A Contratante tem ciência de que o PIX se trata de um canal de recebimento no produto arrecadação (por código de barras) e que consequentemente há necessidade </w:t>
      </w:r>
      <w:proofErr w:type="gramStart"/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da</w:t>
      </w:r>
      <w:proofErr w:type="gramEnd"/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Contratada possuir o convênio implantado para que possa conciliar os pagamentos recebidos, tanto para tributos, quanto para multas de trânsito?  </w:t>
      </w:r>
    </w:p>
    <w:p w14:paraId="43BEE66B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 O objeto da presente licitação é a prestação de serviços contínuos de arrecadação integrada ao PIX, referente à arrecadação de contas, tributos e demais receitas de competência do Município de Niterói, por meio das guias de arrecadação com códigos de barras padrão FEBRABAN, com prestação de contas por meio magnético (arquivo retorno) - convênio já existente, não incluídas nesse rol de receitas as multas de trânsito</w:t>
      </w: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  <w14:ligatures w14:val="none"/>
        </w:rPr>
        <w:t>. 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0D9A6B18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780B317C" w14:textId="77777777" w:rsidR="00174694" w:rsidRPr="00C90714" w:rsidRDefault="00174694" w:rsidP="00174694">
      <w:pPr>
        <w:numPr>
          <w:ilvl w:val="0"/>
          <w:numId w:val="3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Em linha com a questão anterior, a Contratante tem ciência que o prazo para repasse do valor recebido do PIX necessitará ser o mesmo do código de barras?  </w:t>
      </w:r>
    </w:p>
    <w:p w14:paraId="607663F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 Conforme previsto no Edital, a Contratada deverá repassar o produto de arrecadação ao Município até o 2º (segundo) dia útil após a data de recebimento (D+2). Verificar item 7.2.2.1 do Anexo I do Edital. 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38E6201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F6A3459" w14:textId="77777777" w:rsidR="00174694" w:rsidRPr="00C90714" w:rsidRDefault="00174694" w:rsidP="00174694">
      <w:pPr>
        <w:numPr>
          <w:ilvl w:val="0"/>
          <w:numId w:val="4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Isto posto, considerando que o processo de implantação necessita de apoio de ambas as partes para conclusão, podemos considerar como aceitável o prazo de 30 dias após assinatura do contrato?  </w:t>
      </w:r>
    </w:p>
    <w:p w14:paraId="58672F4B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 De acordo com o item 5.2 do Anexo I do Edital, a assinatura do contrato com a nova contratada deverá ocorrer com no mínimo, 30 (trinta) dias úteis de antecedência em relação à data de finalização do contrato vigente, com vistas a viabilizar a integração sistêmica imprescindível à arrecadação.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098E3EEB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31107BB6" w14:textId="77777777" w:rsidR="00174694" w:rsidRPr="00C90714" w:rsidRDefault="00174694" w:rsidP="00174694">
      <w:pPr>
        <w:numPr>
          <w:ilvl w:val="0"/>
          <w:numId w:val="5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Caso a CONTRATANTE venha utilizar a prestação de serviços de uma VAN para a e recepção do PIX, pergunta-se:  </w:t>
      </w:r>
    </w:p>
    <w:p w14:paraId="6066D3C0" w14:textId="77777777" w:rsidR="00174694" w:rsidRPr="00C90714" w:rsidRDefault="00174694" w:rsidP="00174694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a) Esta será através de empresas terceiras, ou, poderão utilizar serviços de VAN da próprio BANCO sem custos?  </w:t>
      </w:r>
    </w:p>
    <w:p w14:paraId="63D65666" w14:textId="77777777" w:rsidR="00174694" w:rsidRPr="00C90714" w:rsidRDefault="00174694" w:rsidP="00174694">
      <w:pPr>
        <w:shd w:val="clear" w:color="auto" w:fill="FFFFFF"/>
        <w:spacing w:after="0" w:line="240" w:lineRule="auto"/>
        <w:ind w:left="720"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b) Se for empresas terceiras, a Contratante está ciente de que arcará com os custos?  </w:t>
      </w:r>
    </w:p>
    <w:p w14:paraId="30BD653E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Respostas das letras “a” e “b”: Em conformidade com o item 5.1.2 do Anexo I do Edital, informamos que caberá à instituição financeira disponibilizar a solução sistêmica, bem como o suporte de integração para permitir a geração de (QR </w:t>
      </w:r>
      <w:proofErr w:type="spell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Code</w:t>
      </w:r>
      <w:proofErr w:type="spell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) PIX Padrão </w:t>
      </w:r>
      <w:proofErr w:type="gram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FEBRABAN,  CNAB</w:t>
      </w:r>
      <w:proofErr w:type="gram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 150, 240 e750, através da troca de arquivos e por meio de APIs (</w:t>
      </w:r>
      <w:proofErr w:type="spell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Application</w:t>
      </w:r>
      <w:proofErr w:type="spell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 </w:t>
      </w:r>
      <w:proofErr w:type="spell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Programming</w:t>
      </w:r>
      <w:proofErr w:type="spell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 Interface).</w:t>
      </w:r>
    </w:p>
    <w:p w14:paraId="6CE1BB5C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2ADDAF56" w14:textId="77777777" w:rsidR="00174694" w:rsidRPr="00C90714" w:rsidRDefault="00174694" w:rsidP="00174694">
      <w:pPr>
        <w:numPr>
          <w:ilvl w:val="0"/>
          <w:numId w:val="6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É conhecido pelo ente público que a licitação abrange TODOS os tributos do Município, isto é, o QR </w:t>
      </w:r>
      <w:proofErr w:type="spellStart"/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Code</w:t>
      </w:r>
      <w:proofErr w:type="spellEnd"/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será incluído nos tributos IPTU; ITBI; ISS; contribuições; parcelamentos; e todas as demais guias aqui não especificadas?  </w:t>
      </w:r>
    </w:p>
    <w:p w14:paraId="159C33E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 De acordo com item 1.4 do Edital, os tributos e receitas a que refere o item 1.1 do Edital, além de outros que venham a ser instituídos, são os seguintes: a) Imposto Predial e Territorial Urbano – IPTU; b) Imposto sobre Serviços de Qualquer Natureza – ISSQN; c) Imposto sobre a Transmissão de Bens Imóveis – ITBI; d) Taxas; e) Contribuições; f) outras receitas”.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48037EE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5EE677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060467C6" w14:textId="77777777" w:rsidR="00174694" w:rsidRPr="00C90714" w:rsidRDefault="00174694" w:rsidP="00174694">
      <w:pPr>
        <w:numPr>
          <w:ilvl w:val="0"/>
          <w:numId w:val="7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Está correto afirmar que a geração da imagem do PIX QR CODE é associada a guia de arrecadação ficará sob a responsabilidade do contratante junto a sua gráfica? Este item 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lastRenderedPageBreak/>
        <w:t>é de inteira responsabilidade da empresa, ficando a mesma responsável por incluir as informações dentro do que permite cada um dos modelos de QR CODE, correto?  </w:t>
      </w:r>
    </w:p>
    <w:p w14:paraId="720DD01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 Conforme item 4.1 do Anexo III do Edital, os QR Codes gerados no âmbito do PIX observarão todas as normas e recomendações estabelecidas pelo Banco Central do Brasil, inclusive quanto às práticas de segurança da informação e aos requisitos obrigatórios. Ademais, de acordo com item 1.1.1 do Edital, caberá à instituição financeira disponibilizar a solução sistêmica, bem como o suporte de integração para permitir que o Contratante possa gerar o QR CODE Dinâmico para PIX nos documentos de arrecadação tributária e outras receitas municipais. O retorno das informações será através dos arquivos CNAB 150 e CNAB 240, padrão FEBRABAN.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16F53FA1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5996B05E" w14:textId="77777777" w:rsidR="00174694" w:rsidRPr="00C90714" w:rsidRDefault="00174694" w:rsidP="00174694">
      <w:pPr>
        <w:numPr>
          <w:ilvl w:val="0"/>
          <w:numId w:val="8"/>
        </w:numPr>
        <w:shd w:val="clear" w:color="auto" w:fill="FFFFFF"/>
        <w:spacing w:after="0" w:line="240" w:lineRule="auto"/>
        <w:ind w:firstLine="705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Qual a quantidade de guias recolhida via PIX no exercício de 2024/2025?  </w:t>
      </w:r>
    </w:p>
    <w:p w14:paraId="04F8FEC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 Foram realizadas no ano de 2024 um total de 125.355 operações via PIX e 208.672 no último exercício (2025). 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5F53296D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14693495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10. 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Qual o valor total arrecadado via PIX no exercício de 2024/2025?  </w:t>
      </w:r>
    </w:p>
    <w:p w14:paraId="231306E1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 No que tange aos valores arrecadados por meio dessa modalidade de pagamento, informamos que foram arrecadados em 2024 R$ 80.635.779,32 e R$ 155.717.082,32 no último exercício (2025). 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BFBBBE8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736488C6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72DFF76F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11. 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Está correto afirmar, que o BANCO não assumirá nenhum custo relativo à implantação/ homologação dos produtos contratados neste edital?  </w:t>
      </w:r>
    </w:p>
    <w:p w14:paraId="15243F8F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 Em consonância com os requisitos elencados em Edital para execução do objeto, a instituição financeira vencedora do certame deverá disponibilizar para a Contratante documentação técnica oficial das APIs/ webservices, como os manuais de integração, os arquivos de retorno, os fluxos de autenticação, os ambientes de homologação, entre outros documentos correlatos e necessários para planejamento e execução da integração dos sistemas.  Ademais,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o item 5.1.2.5 do Anexo I do Edital dispõe que “todos os custos oriundos do desenvolvimento da solução e integração sistêmica deverão estar inclusos no valor fixado da tarifa”. Por fim, importante registrar que o item 4.3 do Edital dispõe que “nos valores propostos estarão inclusos todos os custos operacionais, encargos previdenciários, trabalhistas, tributários, comerciais e quaisquer outros que incidam direta ou indiretamente na execução do objeto”.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2AA70986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6525127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5A42A005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12.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Considerando que no exercício de 2025 foi implementado o PIX Automático, podemos considerar que o contrato referido nesta licitação também poderá ser utilizado para o PIX Automático?  </w:t>
      </w:r>
    </w:p>
    <w:p w14:paraId="4901C784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  Conforme item 5.1.3.3 do Anexo I do Edital, “a informação recebida nos documentos de arrecadação será obtida pela leitura do QR </w:t>
      </w:r>
      <w:proofErr w:type="spell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Code</w:t>
      </w:r>
      <w:proofErr w:type="spell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 padrão PIX (BR </w:t>
      </w:r>
      <w:proofErr w:type="spell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Code</w:t>
      </w:r>
      <w:proofErr w:type="spell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) estabelecido na Resolução do Banco Central do Brasil”.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44FFBC7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6B7ADF8D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3DF1164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 13. 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A Contratante tem ciência de que há necessidade de Certificado Digital para implantação do PIX?  </w:t>
      </w:r>
    </w:p>
    <w:p w14:paraId="7FAB1C31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 A Contratante tem ciência da necessidade do certificado digital.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2656F1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6863F01D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5CFF872A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 xml:space="preserve">14. 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Com relação a forma de pagamento, atualmente a CONTRATADA atua pelo método de dedução da tarifa no momento do repasse, sendo repassado apenas o valor líquido. Podemos considerar que esta forma atende a CONTRATANTE?  </w:t>
      </w:r>
    </w:p>
    <w:p w14:paraId="51F12F0C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 A dedução da tarifa ocorre no momento do repasse. Sendo </w:t>
      </w:r>
      <w:proofErr w:type="gramStart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necessário ,</w:t>
      </w:r>
      <w:proofErr w:type="gramEnd"/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 no entanto, que o banco disponibilize relatório diário, com o demonstrativo das operações, valores arrecadados entre outras informações, para fins de aferição e acompanhamento das equipes responsáveis.</w:t>
      </w:r>
    </w:p>
    <w:p w14:paraId="2CA6C291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1482FB09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</w:p>
    <w:p w14:paraId="7FE5513F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15.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 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No que tange à devolução do Imposto de Renda Retido na Fonte – IRRF, o Banco Santander realiza a devolução do IR de forma mensal, pelo montante cobrado no mês anterior, </w:t>
      </w: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  <w14:ligatures w14:val="none"/>
        </w:rPr>
        <w:t xml:space="preserve">até o dia 20 do mês </w:t>
      </w: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subsequente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. Podemos confirmar o entendimento de que esta forma de devolução do IRRF atende a necessidade a CONTRATANTE?  </w:t>
      </w:r>
    </w:p>
    <w:p w14:paraId="1B6ADAF2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D5E2F88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Resposta: Verificar itens 7.18.2 e 7.18.3 do Anexo I do Edital que dispõem sobre o IRRF, a saber: 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51526865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“7.18.2.  As Instituições Financeiras participantes do processo licitatório deverão possuir sistema próprio automatizado, a fim de realizar a dedução diária das tarifas líquidas pactuadas no momento do repasse financeiro. As tarifas serão deduzidas, considerando o valor a ser retido a título de Imposto de Renda Retido na Fonte – IRRF, conforme os termos da Instrução Normativa nº 2145, de 26 de junho de 2023 e respectivas alterações.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17BCB6C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7.18.2.1. Caso o sistema da Instituição Financeira vencedora do certame não esteja em conformidade com os procedimentos descritos no item anterior, poderá a Contratada efetuar o recolhimento mensal do IRRF em favor do Município, por meio de GRM – Guia de recolhimento do Munícipio. 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6537DB2E" w14:textId="77777777" w:rsidR="00174694" w:rsidRPr="00C90714" w:rsidRDefault="00174694" w:rsidP="00174694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</w:pPr>
      <w:r w:rsidRPr="00C90714">
        <w:rPr>
          <w:rFonts w:eastAsia="Times New Roman" w:cstheme="minorHAnsi"/>
          <w:b/>
          <w:bCs/>
          <w:color w:val="000000"/>
          <w:kern w:val="0"/>
          <w:sz w:val="20"/>
          <w:szCs w:val="20"/>
          <w:u w:val="single"/>
          <w:lang w:eastAsia="pt-BR"/>
          <w14:ligatures w14:val="none"/>
        </w:rPr>
        <w:t>7.18.3. Os demonstrativos de arrecadação enviados diariamente pela Contratada ao Contratante deverão conter as informações do IRRF, permitindo assim a apuração e o acompanhamento dos departamentos envolvidos.”</w:t>
      </w:r>
      <w:r w:rsidRPr="00C90714">
        <w:rPr>
          <w:rFonts w:eastAsia="Times New Roman" w:cstheme="minorHAnsi"/>
          <w:color w:val="000000"/>
          <w:kern w:val="0"/>
          <w:sz w:val="20"/>
          <w:szCs w:val="20"/>
          <w:lang w:eastAsia="pt-BR"/>
          <w14:ligatures w14:val="none"/>
        </w:rPr>
        <w:t> </w:t>
      </w:r>
    </w:p>
    <w:p w14:paraId="114E203E" w14:textId="77777777" w:rsidR="00174694" w:rsidRPr="00C90714" w:rsidRDefault="00174694" w:rsidP="008F72A4">
      <w:pPr>
        <w:pStyle w:val="SemEspaamento"/>
        <w:jc w:val="both"/>
        <w:rPr>
          <w:rFonts w:cstheme="minorHAnsi"/>
          <w:color w:val="242424"/>
          <w:sz w:val="20"/>
          <w:szCs w:val="20"/>
        </w:rPr>
      </w:pPr>
    </w:p>
    <w:p w14:paraId="5A40A166" w14:textId="77777777" w:rsidR="00174694" w:rsidRPr="00C90714" w:rsidRDefault="00174694" w:rsidP="008F72A4">
      <w:pPr>
        <w:pStyle w:val="SemEspaamento"/>
        <w:jc w:val="both"/>
        <w:rPr>
          <w:rFonts w:cstheme="minorHAnsi"/>
          <w:color w:val="242424"/>
          <w:sz w:val="20"/>
          <w:szCs w:val="20"/>
        </w:rPr>
      </w:pPr>
    </w:p>
    <w:p w14:paraId="55ACD33D" w14:textId="77777777" w:rsidR="00174694" w:rsidRPr="00C90714" w:rsidRDefault="00174694" w:rsidP="008F72A4">
      <w:pPr>
        <w:pStyle w:val="SemEspaamento"/>
        <w:jc w:val="both"/>
        <w:rPr>
          <w:rFonts w:cstheme="minorHAnsi"/>
          <w:color w:val="242424"/>
          <w:sz w:val="20"/>
          <w:szCs w:val="20"/>
        </w:rPr>
      </w:pPr>
    </w:p>
    <w:p w14:paraId="02392004" w14:textId="77777777" w:rsidR="00174694" w:rsidRPr="00C90714" w:rsidRDefault="00174694" w:rsidP="008F72A4">
      <w:pPr>
        <w:pStyle w:val="SemEspaamento"/>
        <w:jc w:val="both"/>
        <w:rPr>
          <w:rFonts w:cstheme="minorHAnsi"/>
          <w:color w:val="242424"/>
          <w:sz w:val="20"/>
          <w:szCs w:val="20"/>
        </w:rPr>
      </w:pPr>
    </w:p>
    <w:p w14:paraId="2DC30BAF" w14:textId="77777777" w:rsidR="008F72A4" w:rsidRPr="00C90714" w:rsidRDefault="008F72A4" w:rsidP="008F72A4">
      <w:pPr>
        <w:pStyle w:val="SemEspaamento"/>
        <w:jc w:val="both"/>
        <w:rPr>
          <w:rFonts w:cstheme="minorHAnsi"/>
          <w:b/>
          <w:bCs/>
          <w:color w:val="242424"/>
          <w:sz w:val="20"/>
          <w:szCs w:val="20"/>
        </w:rPr>
      </w:pPr>
      <w:r w:rsidRPr="00C90714">
        <w:rPr>
          <w:rFonts w:cstheme="minorHAnsi"/>
          <w:b/>
          <w:bCs/>
          <w:color w:val="242424"/>
          <w:sz w:val="20"/>
          <w:szCs w:val="20"/>
        </w:rPr>
        <w:t>Assessoria de Contratos e Licitações - ASSCL</w:t>
      </w:r>
    </w:p>
    <w:p w14:paraId="2EA400BB" w14:textId="77777777" w:rsidR="008F72A4" w:rsidRPr="00C90714" w:rsidRDefault="008F72A4" w:rsidP="008F72A4">
      <w:pPr>
        <w:pStyle w:val="SemEspaamento"/>
        <w:jc w:val="both"/>
        <w:rPr>
          <w:rFonts w:cstheme="minorHAnsi"/>
          <w:b/>
          <w:bCs/>
          <w:color w:val="242424"/>
          <w:sz w:val="20"/>
          <w:szCs w:val="20"/>
        </w:rPr>
      </w:pPr>
      <w:r w:rsidRPr="00C90714">
        <w:rPr>
          <w:rFonts w:cstheme="minorHAnsi"/>
          <w:b/>
          <w:bCs/>
          <w:color w:val="242424"/>
          <w:sz w:val="20"/>
          <w:szCs w:val="20"/>
        </w:rPr>
        <w:t>Subsecretaria de Modernização e Gestão Fazendária - SUMOG</w:t>
      </w:r>
    </w:p>
    <w:p w14:paraId="4C1D6FF5" w14:textId="64BCDCB3" w:rsidR="009C087C" w:rsidRPr="00C90714" w:rsidRDefault="008F72A4" w:rsidP="008F72A4">
      <w:pPr>
        <w:pStyle w:val="SemEspaamento"/>
        <w:jc w:val="both"/>
        <w:rPr>
          <w:rFonts w:cstheme="minorHAnsi"/>
          <w:b/>
          <w:bCs/>
          <w:color w:val="242424"/>
          <w:sz w:val="20"/>
          <w:szCs w:val="20"/>
        </w:rPr>
      </w:pPr>
      <w:r w:rsidRPr="00C90714">
        <w:rPr>
          <w:rFonts w:cstheme="minorHAnsi"/>
          <w:b/>
          <w:bCs/>
          <w:color w:val="242424"/>
          <w:sz w:val="20"/>
          <w:szCs w:val="20"/>
        </w:rPr>
        <w:t xml:space="preserve">Secretaria Municipal de Fazenda de Niterói  </w:t>
      </w:r>
    </w:p>
    <w:p w14:paraId="625D0273" w14:textId="77777777" w:rsidR="00497D32" w:rsidRPr="00C90714" w:rsidRDefault="00497D32" w:rsidP="009805F1">
      <w:pPr>
        <w:jc w:val="both"/>
        <w:rPr>
          <w:rFonts w:cstheme="minorHAnsi"/>
          <w:sz w:val="20"/>
          <w:szCs w:val="20"/>
        </w:rPr>
      </w:pPr>
    </w:p>
    <w:p w14:paraId="1EEE8DBF" w14:textId="77777777" w:rsidR="00C90714" w:rsidRPr="00C90714" w:rsidRDefault="00C90714">
      <w:pPr>
        <w:jc w:val="both"/>
        <w:rPr>
          <w:rFonts w:cstheme="minorHAnsi"/>
          <w:sz w:val="20"/>
          <w:szCs w:val="20"/>
        </w:rPr>
      </w:pPr>
    </w:p>
    <w:sectPr w:rsidR="00C90714" w:rsidRPr="00C907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60980"/>
    <w:multiLevelType w:val="multilevel"/>
    <w:tmpl w:val="4F6690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274B32"/>
    <w:multiLevelType w:val="multilevel"/>
    <w:tmpl w:val="1AD26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940BB3"/>
    <w:multiLevelType w:val="multilevel"/>
    <w:tmpl w:val="2D325F5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785837"/>
    <w:multiLevelType w:val="multilevel"/>
    <w:tmpl w:val="0C1C05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B67407"/>
    <w:multiLevelType w:val="multilevel"/>
    <w:tmpl w:val="20D29E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6F154E"/>
    <w:multiLevelType w:val="multilevel"/>
    <w:tmpl w:val="0C1E2E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668B6"/>
    <w:multiLevelType w:val="multilevel"/>
    <w:tmpl w:val="93B652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3E6CCA"/>
    <w:multiLevelType w:val="multilevel"/>
    <w:tmpl w:val="C23E3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68005043">
    <w:abstractNumId w:val="7"/>
  </w:num>
  <w:num w:numId="2" w16cid:durableId="283389042">
    <w:abstractNumId w:val="1"/>
  </w:num>
  <w:num w:numId="3" w16cid:durableId="1017543059">
    <w:abstractNumId w:val="4"/>
  </w:num>
  <w:num w:numId="4" w16cid:durableId="878591265">
    <w:abstractNumId w:val="5"/>
  </w:num>
  <w:num w:numId="5" w16cid:durableId="652219019">
    <w:abstractNumId w:val="3"/>
  </w:num>
  <w:num w:numId="6" w16cid:durableId="2137992391">
    <w:abstractNumId w:val="0"/>
  </w:num>
  <w:num w:numId="7" w16cid:durableId="1155994019">
    <w:abstractNumId w:val="6"/>
  </w:num>
  <w:num w:numId="8" w16cid:durableId="10381682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DBE"/>
    <w:rsid w:val="00017DBE"/>
    <w:rsid w:val="000800BF"/>
    <w:rsid w:val="00174694"/>
    <w:rsid w:val="00353533"/>
    <w:rsid w:val="003F7553"/>
    <w:rsid w:val="00497D32"/>
    <w:rsid w:val="00690C1F"/>
    <w:rsid w:val="007544AB"/>
    <w:rsid w:val="008662E7"/>
    <w:rsid w:val="008F72A4"/>
    <w:rsid w:val="009805F1"/>
    <w:rsid w:val="009C087C"/>
    <w:rsid w:val="00B46324"/>
    <w:rsid w:val="00B5621B"/>
    <w:rsid w:val="00BA6157"/>
    <w:rsid w:val="00C90714"/>
    <w:rsid w:val="00D02D1B"/>
    <w:rsid w:val="00D35463"/>
    <w:rsid w:val="00DF7D8D"/>
    <w:rsid w:val="00E1466B"/>
    <w:rsid w:val="00F61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D709"/>
  <w15:chartTrackingRefBased/>
  <w15:docId w15:val="{7C876A51-C62B-4756-8C81-EF54E4D8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17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17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7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7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7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7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7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7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7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7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17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7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7D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7DB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7D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7DB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7D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7D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7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17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7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17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7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17DB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7DB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17DB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7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7DB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7DBE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97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497D32"/>
    <w:rPr>
      <w:b/>
      <w:bCs/>
    </w:rPr>
  </w:style>
  <w:style w:type="character" w:styleId="nfase">
    <w:name w:val="Emphasis"/>
    <w:basedOn w:val="Fontepargpadro"/>
    <w:uiPriority w:val="20"/>
    <w:qFormat/>
    <w:rsid w:val="00497D32"/>
    <w:rPr>
      <w:i/>
      <w:iCs/>
    </w:rPr>
  </w:style>
  <w:style w:type="paragraph" w:styleId="SemEspaamento">
    <w:name w:val="No Spacing"/>
    <w:uiPriority w:val="1"/>
    <w:qFormat/>
    <w:rsid w:val="00D02D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1265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Concyr Formiga</dc:creator>
  <cp:keywords/>
  <dc:description/>
  <cp:lastModifiedBy>Concyr Formiga Bernardes</cp:lastModifiedBy>
  <cp:revision>3</cp:revision>
  <cp:lastPrinted>2026-05-22T12:27:00Z</cp:lastPrinted>
  <dcterms:created xsi:type="dcterms:W3CDTF">2026-06-08T20:25:00Z</dcterms:created>
  <dcterms:modified xsi:type="dcterms:W3CDTF">2026-06-08T20:26:00Z</dcterms:modified>
</cp:coreProperties>
</file>